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tbl>
      <w:tblPr>
        <w:tblLayout w:type="fixed"/>
        <w:tblInd w:w="368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24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Приказ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6 октября 2009 г.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№ 373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-25400</wp:posOffset>
            </wp:positionV>
            <wp:extent cx="360045" cy="2520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Зарегистрировано в Минюсте РФ 22 декабря 2009 г. № 15785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 ред. приказов Минобрнауки России от 26.11.2010 № 1241, от 22.09.2011 № 2357)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both"/>
        <w:ind w:left="3" w:firstLine="537"/>
        <w:spacing w:after="0" w:line="360" w:lineRule="auto"/>
        <w:tabs>
          <w:tab w:leader="none" w:pos="793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</w:t>
      </w:r>
    </w:p>
    <w:p>
      <w:pPr>
        <w:jc w:val="both"/>
        <w:ind w:left="3" w:hanging="3"/>
        <w:spacing w:after="0" w:line="359" w:lineRule="auto"/>
        <w:tabs>
          <w:tab w:leader="none" w:pos="2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280 (Собрание законодательства Российской Федерации, 2004, № 25, ст. 2562; 2005, № 15, ст. 1350; 2006, № 18, ст. 2007; 2008, № 25, ст. 2990; № 34, ст. 3938; № 48, ст. 5619; 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1110), приказываю: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97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прилагаемый федеральный государственный образовательный стандарт начального общего образования.</w:t>
      </w:r>
    </w:p>
    <w:p>
      <w:pPr>
        <w:ind w:left="3" w:firstLine="537"/>
        <w:spacing w:after="0" w:line="391" w:lineRule="auto"/>
        <w:tabs>
          <w:tab w:leader="none" w:pos="86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Ввести в действие с 1 января 2010 г. федеральный государственный образовательный стандарт, утвержденный настоящим Приказом.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Министр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А.Фурсенко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  <w:type w:val="continuous"/>
        </w:sectPr>
      </w:pPr>
    </w:p>
    <w:p>
      <w:pPr>
        <w:ind w:left="91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Приказом Министерства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-1270</wp:posOffset>
            </wp:positionV>
            <wp:extent cx="360045" cy="2520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науки Российской Федерации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6 октября 2009 г. № 373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ФЕДЕРАЛЬНЫЙ ГОСУДАРСТВЕННЫЙ ОБРАЗОВАТЕЛЬНЫЙ СТАНДАРТ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(в ред. приказов Минобрнауки России от 26.11.2010 № 1241, от 22.09.2011 № 2357)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 Общие положения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both"/>
        <w:ind w:left="3" w:firstLine="537"/>
        <w:spacing w:after="0" w:line="350" w:lineRule="auto"/>
        <w:tabs>
          <w:tab w:leader="none" w:pos="829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 w:right="4160" w:hanging="541"/>
        <w:spacing w:after="0" w:line="31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учреждениями, имеющими государственную аккредитацию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Стандарт включает в себя требования: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right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результатам освоения основной образовательной программы начального общего образования;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</w:t>
      </w:r>
    </w:p>
    <w:p>
      <w:pPr>
        <w:ind w:left="543" w:hanging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участниками образовательного процесса; к условиям реализации основной образовательной программы начального общего образования,</w:t>
      </w:r>
    </w:p>
    <w:p>
      <w:pPr>
        <w:ind w:left="183" w:hanging="183"/>
        <w:spacing w:after="0"/>
        <w:tabs>
          <w:tab w:leader="none" w:pos="1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числе кадровым, финансовым, материально-техническим и иным условиям.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left="3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самоценность ступени начального общего образования как фундамента всего последующего образования.</w:t>
      </w:r>
    </w:p>
    <w:p>
      <w:pPr>
        <w:ind w:left="3" w:firstLine="537"/>
        <w:spacing w:after="0" w:line="308" w:lineRule="auto"/>
        <w:tabs>
          <w:tab w:leader="none" w:pos="8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учитывает образовательные потребности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является основой объективной оценки уровня образования обучающихся на ступени начального общего образования.</w:t>
      </w:r>
    </w:p>
    <w:p>
      <w:pPr>
        <w:ind w:left="3" w:firstLine="537"/>
        <w:spacing w:after="0" w:line="364" w:lineRule="auto"/>
        <w:tabs>
          <w:tab w:leader="none" w:pos="8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Нормативный срок освоения основной образовательной программы начального общего образования составляет четыре года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</w:sectPr>
      </w:pP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  <w:type w:val="continuous"/>
        </w:sectPr>
      </w:pPr>
    </w:p>
    <w:p>
      <w:pPr>
        <w:ind w:firstLine="537"/>
        <w:spacing w:after="0" w:line="360" w:lineRule="auto"/>
        <w:tabs>
          <w:tab w:leader="none" w:pos="79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разработан с учетом региональных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национальных и этнокультурных потребностей народов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80" w:hanging="243"/>
        <w:spacing w:after="0"/>
        <w:tabs>
          <w:tab w:leader="none" w:pos="7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направлен на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равных возможностей получения качественного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обучающихся на ступени начального общего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-351790</wp:posOffset>
            </wp:positionV>
            <wp:extent cx="360045" cy="25203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их гражданской идентичности как основы развития гражданского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преемственности основных образовательных программ дошкольного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профессионального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профессионального и высшего профессионального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сохранения и развития культурного разнообразия и языкового наследия многонационального народа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права на изучение родного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возможности получения начального общего образования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овладения духовными ценностями и культурой многонационального народа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демократизации образования и всей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через развитие форм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возможностей для реализации права выбора педагогическими работниками методик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методов оценки знаний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различных форм образовательной деятельности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развития культуры образовательной среды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формирования критериальной оценки результатов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деятельности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функционирования системы образования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условий для эффективной реализации и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обеспечение условий для индивидуального развития всех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особенности тех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кто в наибольшей степени нуждается в специальных условиях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 w:hanging="3"/>
        <w:spacing w:after="0" w:line="360" w:lineRule="auto"/>
        <w:tabs>
          <w:tab w:leader="none" w:pos="7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основе Стандарта лежит системно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деятельностный подход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предполагает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и развитие качеств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отвечающих требованиям информационного</w:t>
      </w:r>
    </w:p>
    <w:p>
      <w:pPr>
        <w:jc w:val="both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инновационной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задачам построения демократического гражданского общества на основе толерантности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диалога культур и уважения многонационального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поликультурного и поликонфессионального состава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9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определяющих пути и способы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  <w:type w:val="continuous"/>
        </w:sect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достижения социально желаемого уровня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ориентацию на результаты образования как системообразующий компонент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где развитие личности обучающегося на основе усвоения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познания и освоения мира составляет цель и основной результат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-350520</wp:posOffset>
            </wp:positionV>
            <wp:extent cx="360045" cy="2520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признание решающей роли содержания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способов организации образовательной деятельности и взаимодействия участников образовательного процесса в достижении целей личностного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и познавательного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индивидуальных возрастных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психологических и физиологических особенностей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роли и значения видов деятельности и форм общения для определения целей образования и воспитания и путей их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преемственности дошкольного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и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разнообразие организационных форм и учет индивидуальных особенностей каждого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рост творческого потенциала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 мотивов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обогащение форм взаимодействия со сверстниками и взрослыми в познавательной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гарантированность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и создает основу для самостоятельного успешного усвоения обучающимися новых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видов и способов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hanging="3"/>
        <w:spacing w:after="0" w:line="359" w:lineRule="auto"/>
        <w:tabs>
          <w:tab w:leader="none" w:pos="7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со Стандартом на ступени начального общего образования осуществляется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основ гражданской идентичности и мировоззрения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основ умения учиться и способности к организации своей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сохранять цели и следовать им в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планировать свою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осуществлять ее контроль и оценку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взаимодействовать с педагогом и сверстниками в учебном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предусматривающее принятие ими моральных норм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нравственных установок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национальных ценностей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укрепление физического и духовного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Стандарт ориентирован на становление личностных характеристик выпускника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портрет выпускника начальной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"):</w:t>
      </w:r>
    </w:p>
    <w:p>
      <w:pPr>
        <w:ind w:left="540" w:right="350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любящий свой народ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 край и свою Родину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уважающий и принимающий ценности семьи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любознательный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 и заинтересованно познающий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 w:right="320"/>
        <w:spacing w:after="0" w:line="4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владеющий основами умения учиться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способный к организации собственной деятельности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готовый самостоятельно действовать и отвечать за свои поступки перед семьей и обществом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</w:sectPr>
      </w:pP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  <w:type w:val="continuous"/>
        </w:sect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доброжелательный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умеющий слушать и слышать собеседника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обосновывать свою позицию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высказывать свое мнение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выполняющий правила здорового и безопасного для себя и окружающих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260350</wp:posOffset>
            </wp:positionV>
            <wp:extent cx="360045" cy="25203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jc w:val="center"/>
        <w:ind w:left="4120" w:right="280" w:hanging="3835"/>
        <w:spacing w:after="0" w:line="348" w:lineRule="auto"/>
        <w:tabs>
          <w:tab w:leader="none" w:pos="58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результатам освоения основной образовательной программы начального общего образования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20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firstLine="537"/>
        <w:spacing w:after="0" w:line="360" w:lineRule="auto"/>
        <w:tabs>
          <w:tab w:leader="none" w:pos="867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 устанавливает требования к результатам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готовность и способность обучающихся к саморазвитию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сформированность мотивации к обучению и познанию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ценностно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смысловые установки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их индивидуально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социальные компетенции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личностные качества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сформированность основ гражданской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метапредметным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освоенные обучающимися универсальные учебные действия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регулятивные и коммуникативные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обеспечивающие овладение ключевыми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компетенциями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составляющими основу умения учиться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межпредметными понятиями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преобразованию и применению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систему основополагающих элементов научного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лежащих в основе современной научной картины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37"/>
        <w:spacing w:after="0" w:line="360" w:lineRule="auto"/>
        <w:tabs>
          <w:tab w:leader="none" w:pos="905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 результаты освоения основной образовательной программы начального общего образования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основ российской гражданской идентичности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чувства гордости за свою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российский народ и историю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осознание своей этнической и национальной принадлежности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ценностей многонационального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становление гуманистических и демократических ценностных ориентаций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целостного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 ориентированного взгляда на мир в его органичном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единстве и разнообразии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 и религий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уважительного отношения к иному мнению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истории и культуре других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начальными навыками адаптации в динамично изменяющемся и развивающемся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37"/>
        <w:spacing w:after="0" w:line="391" w:lineRule="auto"/>
        <w:tabs>
          <w:tab w:leader="none" w:pos="94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и освоение социальной роли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мотивов учебной деятельности и формирование личностного смысла 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  <w:type w:val="continuous"/>
        </w:sectPr>
      </w:pPr>
    </w:p>
    <w:p>
      <w:pPr>
        <w:jc w:val="both"/>
        <w:ind w:left="3" w:firstLine="537"/>
        <w:spacing w:after="0" w:line="359" w:lineRule="auto"/>
        <w:tabs>
          <w:tab w:leader="none" w:pos="863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самостоятельности и личной ответственности за свои поступки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 информационной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основе представлений о нравственных нормах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социальной справедливости и свободе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3" w:hanging="263"/>
        <w:spacing w:after="0"/>
        <w:tabs>
          <w:tab w:leader="none" w:pos="803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эстетических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ценностей и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105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этических чувств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доброжелательности и эмоционально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нравственной отзывчивости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понимания и сопереживания чувствам других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882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сотрудничества со взрослыми и сверстниками в разных социальных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 не создавать конфликтов и находить выходы из спорных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59" w:lineRule="auto"/>
        <w:tabs>
          <w:tab w:leader="none" w:pos="988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установки на безопасный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здоровый образ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мотивации к творческому труду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работе на результат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бережному отношению к материальным и духовным ценностям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Метапредметные результаты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3" w:firstLine="537"/>
        <w:spacing w:after="0" w:line="360" w:lineRule="auto"/>
        <w:tabs>
          <w:tab w:leader="none" w:pos="805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способностью принимать и сохранять цели и задачи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поиска средств ее осуществления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3" w:hanging="263"/>
        <w:spacing w:after="0"/>
        <w:tabs>
          <w:tab w:leader="none" w:pos="803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способов решения проблем творческого и поискового характера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59" w:lineRule="auto"/>
        <w:tabs>
          <w:tab w:leader="none" w:pos="901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умения планировать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контролировать и оценивать учебные действия в соответствии с поставленной задачей и условиями ее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определять наиболее эффективные способы достижения результата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94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умения понимать причины успеха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неуспеха учебной деятельности и способности конструктивно действовать даже в ситуациях неуспеха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3" w:hanging="263"/>
        <w:spacing w:after="0"/>
        <w:tabs>
          <w:tab w:leader="none" w:pos="803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начальных форм познавательной и личностной рефлексии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75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знаково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символических средств представления информации для создания моделей изучаемых объектов и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 решения учебных и практических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825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активное использование речевых средств и средств информационных и коммуникационных технологий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решения коммуникативных и познавательных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59" w:lineRule="auto"/>
        <w:tabs>
          <w:tab w:leader="none" w:pos="829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использование различных способов поиска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справочных источниках и открытом учебном информационном пространстве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обработки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передачи и интерпретации информации в соответствии с коммуникативными и познавательными задачами и технологиями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умение вводить текст с помощью клавиатуры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фиксировать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цифровой форме измеряемые величины и анализировать изображения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звуки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готовить свое выступление и выступать с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графическим сопровождением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соблюдать нормы информационной избирательности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этики и этикета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3" w:hanging="283"/>
        <w:spacing w:after="0"/>
        <w:tabs>
          <w:tab w:leader="none" w:pos="823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навыками смыслового чтения текстов различных стилей и жанров в соответствии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hanging="3"/>
        <w:spacing w:after="0" w:line="391" w:lineRule="auto"/>
        <w:tabs>
          <w:tab w:leader="none" w:pos="279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целями и задачами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-8548370</wp:posOffset>
            </wp:positionV>
            <wp:extent cx="360045" cy="2520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  <w:type w:val="continuous"/>
        </w:sectPr>
      </w:pPr>
    </w:p>
    <w:p>
      <w:pPr>
        <w:jc w:val="both"/>
        <w:ind w:left="3" w:firstLine="537"/>
        <w:spacing w:after="0" w:line="359" w:lineRule="auto"/>
        <w:tabs>
          <w:tab w:leader="none" w:pos="115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логическими действиями сравнения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синтеза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классификации по родовидовым признакам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установления аналогий и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следственных связей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построения рассуждений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отнесения к известным понятиям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60" w:lineRule="auto"/>
        <w:tabs>
          <w:tab w:leader="none" w:pos="1007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слушать собеседника и вести диалог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готовность признавать возможность существования различных точек зрения и права каждого иметь свою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излагать свое мнение и аргументировать свою точку зрения и оценку событий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59" w:lineRule="auto"/>
        <w:tabs>
          <w:tab w:leader="none" w:pos="95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общей цели и путей ее 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договариваться о распределении функций и ролей в совместной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осуществлять взаимный контроль в совместной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адекватно оценивать собственное поведение и поведение окружающих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976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конструктивно разрешать конфликты посредством учета интересов сторон и сотрудничества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99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начальными сведениями о сущности и особенностях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процессов и явлений действительности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технических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</w:t>
      </w:r>
    </w:p>
    <w:p>
      <w:pPr>
        <w:ind w:left="163" w:hanging="163"/>
        <w:spacing w:after="0"/>
        <w:tabs>
          <w:tab w:leader="none" w:pos="163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содержанием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1079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базовыми предметными и межпредметными понятиями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отражающими существенные связи и отношения между объектами и процессами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942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умение работать в материальной и информационной среде 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с учебными моделями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содержанием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3"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Предметные результаты освоения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с учетом специфики содержания предметных областей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включающих в себя конкретные учебные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должны отражать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Филология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Родной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8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первоначальных представлений о единстве и многообразии языкового и культурного пространства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языке как основе национального самосознания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906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обучающимися 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язык представляет собой явление национальной культуры и основное средство человеческого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осознание значения русского языка как государственного языка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языка межнационального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58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834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первоначальными представлениями о нормах русского и родного литературного языка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орфоэпических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лексических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грамматических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правилах речевого этикета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ориентироваться в целях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средствах и условиях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выбирать адекватные языковые средства для успешного решения коммуникативных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91" w:lineRule="auto"/>
        <w:tabs>
          <w:tab w:leader="none" w:pos="813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учебными действиями с языковыми единицами и умение использовать знания для решения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практических и коммуникативных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-8548370</wp:posOffset>
            </wp:positionV>
            <wp:extent cx="360045" cy="25203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  <w:type w:val="continuous"/>
        </w:sectPr>
      </w:pP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чтение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Литературное чтение на родном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3" w:hanging="263"/>
        <w:spacing w:after="0"/>
        <w:tabs>
          <w:tab w:leader="none" w:pos="803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литературы как явления национальной и мировой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сохранения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3" w:hanging="183"/>
        <w:spacing w:after="0"/>
        <w:tabs>
          <w:tab w:leader="none" w:pos="183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нравственных ценностей и традиций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60" w:lineRule="auto"/>
        <w:tabs>
          <w:tab w:leader="none" w:pos="837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значимости чтения для личного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представлений о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российской истории и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первоначальных этических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понятий о добре и зле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успешности обучения по всем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потребности в систематическом чтении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822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роли чтения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разных видов чтения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ознакомительное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изучающее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выборочное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осознанно воспринимать и оценивать содержание и специфику различных текстов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участвовать в их обсуждении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давать и обосновывать нравственную оценку поступков героев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1024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достижение необходимого для продолжения образования уровня читательской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 речевого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овладение техникой чтения вслух и про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элементарными приемами интерпретации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анализа и преобразования художественных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популярных и учебных текстов с использованием элементарных литературоведческих понятий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870" w:val="left"/>
        </w:tabs>
        <w:numPr>
          <w:ilvl w:val="1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самостоятельно выбирать интересующую литературу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пользоваться справочными источниками для понимания и получения дополнительной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Иностранный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59" w:lineRule="auto"/>
        <w:tabs>
          <w:tab w:leader="none" w:pos="861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правил речевого и неречевого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60" w:lineRule="auto"/>
        <w:tabs>
          <w:tab w:leader="none" w:pos="909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начальных лингвистических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овладения на элементарном уровне устной и письменной речью на иностранном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расширение лингвистического кругозора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59" w:lineRule="auto"/>
        <w:tabs>
          <w:tab w:leader="none" w:pos="813" w:val="left"/>
        </w:tabs>
        <w:numPr>
          <w:ilvl w:val="1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детским фольклором и доступными образцами детской художественной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 и информатика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27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начальных математических знаний для описания и объяснения окружающих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оценки их количественных и пространственных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59" w:lineRule="auto"/>
        <w:tabs>
          <w:tab w:leader="none" w:pos="933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основами логического и алгоритмического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пространственного воображения и математической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пересчета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прикидки и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наглядного представления данных и процессов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записи и выполнения алгоритмов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94" w:lineRule="auto"/>
        <w:tabs>
          <w:tab w:leader="none" w:pos="841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начального опыта применения математических знаний для решения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-8289290</wp:posOffset>
            </wp:positionV>
            <wp:extent cx="360045" cy="25203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31" w:gutter="0" w:footer="0" w:header="0"/>
          <w:type w:val="continuous"/>
        </w:sectPr>
      </w:pPr>
    </w:p>
    <w:p>
      <w:pPr>
        <w:jc w:val="both"/>
        <w:ind w:firstLine="537"/>
        <w:spacing w:after="0" w:line="359" w:lineRule="auto"/>
        <w:tabs>
          <w:tab w:leader="none" w:pos="852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выполнять устно и письменно арифметические действия с числами и числовыми выражениями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решать текстовые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умение действовать в соответствии с алгоритмом и строить простейшие алгоритмы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распознавать и изображать геометрические фигуры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работать с таблицами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схемами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графиками и диаграммами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цепочками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совокупностями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представлять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анализировать и интерпретировать данные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представлений о компьютерной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-527050</wp:posOffset>
            </wp:positionV>
            <wp:extent cx="360045" cy="25203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 и естествознание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37"/>
        <w:spacing w:after="0" w:line="360" w:lineRule="auto"/>
        <w:tabs>
          <w:tab w:leader="none" w:pos="893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особой роли России в мировой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чувства гордости за национальные свершения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37"/>
        <w:spacing w:after="0" w:line="360" w:lineRule="auto"/>
        <w:tabs>
          <w:tab w:leader="none" w:pos="80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уважительного отношения к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родному краю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своей семье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природе нашей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современной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37"/>
        <w:spacing w:after="0" w:line="360" w:lineRule="auto"/>
        <w:tabs>
          <w:tab w:leader="none" w:pos="869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целостности окружающего мира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освоение основ экологической грамотности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элементарных правил нравственного поведения в мире природы и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 здоровьесберегающего поведения в природной и социальной среде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927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освоение доступных способов изучения природы и общества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наблюдение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опыт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классификация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получением информации из семейных архивов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окружающих людей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открытом информационном пространстве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40" w:hanging="303"/>
        <w:spacing w:after="0"/>
        <w:tabs>
          <w:tab w:leader="none" w:pos="84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навыков устанавливать и выявлять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следственные связи в окружающем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нравственной культуры народов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готовность к нравственному самосовершенствованию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духовному саморазвитию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80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знакомство с основными нормами светской и религиозной морали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понимание их значения в выстраивании конструктивных отношений в семье и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значения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веры и религии в жизни человека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824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первоначальных представлений о светской этике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традиционных религиях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роли в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истории и современности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37"/>
        <w:spacing w:after="0" w:line="360" w:lineRule="auto"/>
        <w:tabs>
          <w:tab w:leader="none" w:pos="814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первоначальные представления об исторической роли традиционных религий в становлении российской государственности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37"/>
        <w:spacing w:after="0" w:line="359" w:lineRule="auto"/>
        <w:tabs>
          <w:tab w:leader="none" w:pos="821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становление внутренней установки личности поступать согласно своей совести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нравственности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основанной на свободе совести и вероисповедания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духовных традициях народов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осознание ценности человеческой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Искусство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Изобразительное искусство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37"/>
        <w:spacing w:after="0" w:line="391" w:lineRule="auto"/>
        <w:tabs>
          <w:tab w:leader="none" w:pos="867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первоначальных представлений о роли изобразительного искусства в жизни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роли 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9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31" w:gutter="0" w:footer="0" w:header="0"/>
          <w:type w:val="continuous"/>
        </w:sectPr>
      </w:pPr>
    </w:p>
    <w:p>
      <w:pPr>
        <w:jc w:val="both"/>
        <w:ind w:left="3" w:firstLine="537"/>
        <w:spacing w:after="0" w:line="359" w:lineRule="auto"/>
        <w:tabs>
          <w:tab w:leader="none" w:pos="978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основ художественной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материале художественной культуры родного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эстетического отношения к миру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понимание красоты как ценности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потребности в художественном творчестве и в общении с искусством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93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практическими умениями и навыками в восприятии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анализе и оценке произведений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911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живописи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скульптуре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художественном конструировании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ind w:left="3" w:hanging="3"/>
        <w:spacing w:after="0" w:line="360" w:lineRule="auto"/>
        <w:tabs>
          <w:tab w:leader="none" w:pos="19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в специфических формах художественной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базирующихся на ИКТ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цифровая фотография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видеозапись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элементы мультипликации и пр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13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первоначальных представлений о роли музыки в жизни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роли 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нравственном развитии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59" w:lineRule="auto"/>
        <w:tabs>
          <w:tab w:leader="none" w:pos="853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основ музыкальной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на материале музыкальной культуры родного края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художественного вкуса и интереса к музыкальному искусству и музыкальной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3" w:hanging="263"/>
        <w:spacing w:after="0"/>
        <w:tabs>
          <w:tab w:leader="none" w:pos="803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умение воспринимать музыку и выражать свое отношение к музыкальному произведению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918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музыкальных образов при создании театрализованных и музыкально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пластических композиций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исполнении вокально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хоровых произведений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импровизации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805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 первоначальных представлений о созидательном и нравственном значении труда в жизни человека и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мире профессий и важности правильного выбора профессии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820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усвоение первоначальных представлений о материальной культуре как продукте 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преобразующей деятельности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37"/>
        <w:spacing w:after="0" w:line="360" w:lineRule="auto"/>
        <w:tabs>
          <w:tab w:leader="none" w:pos="844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навыков самообслуживания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овладение технологическими приемами ручной обработки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усвоение правил техники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60" w:lineRule="auto"/>
        <w:tabs>
          <w:tab w:leader="none" w:pos="897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приобретенных знаний и умений для творческого решения несложных конструкторских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художественно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конструкторских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дизайнерских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технологических и организационных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37"/>
        <w:spacing w:after="0" w:line="360" w:lineRule="auto"/>
        <w:tabs>
          <w:tab w:leader="none" w:pos="1024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навыков совместной продуктивной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сотрудничества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планирования и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37"/>
        <w:spacing w:after="0" w:line="359" w:lineRule="auto"/>
        <w:tabs>
          <w:tab w:leader="none" w:pos="829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проектных художественно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конструкторских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37"/>
        <w:spacing w:after="0" w:line="391" w:lineRule="auto"/>
        <w:tabs>
          <w:tab w:leader="none" w:pos="921" w:val="left"/>
        </w:tabs>
        <w:numPr>
          <w:ilvl w:val="1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первоначальных представлений о значении физической культуры для укрепления здоровья человека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и психологического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ее позитивном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-8548370</wp:posOffset>
            </wp:positionV>
            <wp:extent cx="360045" cy="25203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  <w:type w:val="continuous"/>
        </w:sectPr>
      </w:pPr>
    </w:p>
    <w:p>
      <w:pPr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влиянии на развитие человека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интеллектуальное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эмоциональное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физической культуре и здоровье как факторах успешной учебы и социализации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37"/>
        <w:spacing w:after="0" w:line="360" w:lineRule="auto"/>
        <w:tabs>
          <w:tab w:leader="none" w:pos="816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овладение умениями организовывать здоровьесберегающую жизнедеятельность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режим 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утренняя зарядка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оздоровительные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подвижные игры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jc w:val="both"/>
        <w:ind w:firstLine="537"/>
        <w:spacing w:after="0" w:line="359" w:lineRule="auto"/>
        <w:tabs>
          <w:tab w:leader="none" w:pos="879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навыка систематического наблюдения за своим физическим состоянием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величиной физических нагрузок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данных мониторинга здоровья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масса тела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показателей развития основных физических качеств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быстроты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выносливости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координации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гибкости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итоговой оценке качества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практических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задач на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знаний и представлений о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человеке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обобщенных способов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в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познавательной и практической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коммуникативных и информационных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 знаний об основах здорового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продолжения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итоговой оценке должны быть выделены две составляющие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промежуточной аттестации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динамику их индивидуальных образовательных достижений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продвижение в достижении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итоговых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обучения на следующей ступени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7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-8537575</wp:posOffset>
            </wp:positionV>
            <wp:extent cx="360045" cy="25203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firstLine="537"/>
        <w:spacing w:after="0" w:line="360" w:lineRule="auto"/>
        <w:tabs>
          <w:tab w:leader="none" w:pos="809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результатам индивидуальных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подлежащим итоговой оценке качества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ценностные ориентации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индивидуальные личностные характеристики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патриотизм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толерантность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гуманизм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41"/>
        <w:spacing w:after="0" w:line="39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-925830</wp:posOffset>
            </wp:positionV>
            <wp:extent cx="360045" cy="25203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III. Требования к структуре основной образовательной программы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firstLine="537"/>
        <w:spacing w:after="0" w:line="360" w:lineRule="auto"/>
        <w:tabs>
          <w:tab w:leader="none" w:pos="1056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личностное и интеллектуальное развитие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создание основы для самостоятельной реализации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обеспечивающей социальную успешность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творческих 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саморазвитие и самосовершенствование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сохранение и укрепление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1083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содержит обязательную часть и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формируемую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Обязательная часть основной образовательной программы начального общего образования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80%,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часть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формируемая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- 20%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 общего объема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60" w:lineRule="auto"/>
        <w:tabs>
          <w:tab w:leader="none" w:pos="1047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эпидемиологическими правилами и нормативами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должна содержать три 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целевой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содержательный и организационный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Целевой раздел определяет общее назначение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и планируемые результаты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способы определения достижения этих целей и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7240"/>
        <w:spacing w:after="0" w:line="37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Целевой раздел включает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пояснительную записку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12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Содержательный раздел определяет общее содержание начального общего образования и включает следующие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ориентированные на достижение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предметных и метапредметных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-350520</wp:posOffset>
            </wp:positionV>
            <wp:extent cx="360045" cy="25203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формирования универсальных учебных действий у обучающихся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и курсов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программу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воспитания обучающихся на ступени начального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коррекционной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раздел определяет общие рамки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механизмы реализации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раздел включает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37"/>
        <w:spacing w:after="0" w:line="360" w:lineRule="auto"/>
        <w:tabs>
          <w:tab w:leader="none" w:pos="1049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установленными Стандартом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основной образовательной программы начального общего образования осуществляется самим образовательным учреждением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возможности для реализации внеурочной деятельности образовательное учреждение в рамках соответствующих государственных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формируемых учредителем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использует возможности образовательных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организаций культуры и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13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firstLine="537"/>
        <w:spacing w:after="0" w:line="359" w:lineRule="auto"/>
        <w:tabs>
          <w:tab w:leader="none" w:pos="797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 каникул используются возможности организаций отдыха детей и их оздоровления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тематических лагерных смен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летних школ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создаваемых на базе общеобразовательных учреждений и образовательных 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915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целях обеспечения индивидуальных потребностей обучающихся в образовательной программе начального общего образования предусматриваются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курсы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этнокультурные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внеурочная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должна учитывать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 и вид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образовательные потребности и запросы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-1927860</wp:posOffset>
            </wp:positionV>
            <wp:extent cx="360045" cy="25203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firstLine="537"/>
        <w:spacing w:after="0" w:line="360" w:lineRule="auto"/>
        <w:tabs>
          <w:tab w:leader="none" w:pos="1044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разделам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080" w:hanging="543"/>
        <w:spacing w:after="0"/>
        <w:tabs>
          <w:tab w:leader="none" w:pos="108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Пояснительная записка должна раскрывать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принципы и подходы к формированию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и состава участников образовательного процесса конкретного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37"/>
        <w:spacing w:after="0" w:line="360" w:lineRule="auto"/>
        <w:tabs>
          <w:tab w:leader="none" w:pos="975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подходы к организации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основной образовательной программы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37"/>
        <w:spacing w:after="0" w:line="360" w:lineRule="auto"/>
        <w:tabs>
          <w:tab w:leader="none" w:pos="809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связь между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образовательным процессом и системой оценки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firstLine="537"/>
        <w:spacing w:after="0" w:line="360" w:lineRule="auto"/>
        <w:tabs>
          <w:tab w:leader="none" w:pos="824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являться основой для разработки основной образовательной программы начального общего образования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37"/>
        <w:spacing w:after="0" w:line="360" w:lineRule="auto"/>
        <w:tabs>
          <w:tab w:leader="none" w:pos="888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являться содержательной и критериальной основой для разработки рабочих программ учебных предметов 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14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left="80" w:right="8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передавать специфику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частности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специфику целей изучения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соответствовать возрастным возможностям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80" w:right="80"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метапредметных и предметных результатов как с позиций организации их достижения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с позиций оценки этих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Оценка результатов деятельности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-1398905</wp:posOffset>
            </wp:positionV>
            <wp:extent cx="360045" cy="25203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80" w:right="80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введение в действие и реализацию требований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определяет общий объем нагрузки и максимальный объем аудиторной нагрузки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 и структуру обязательных предметных областей по классам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Основная образовательная программа начального общего образования может включать как один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несколько учебных планов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80" w:right="80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1"/>
        <w:spacing w:after="0" w:line="3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планы обеспечивают 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законодательством Российской Федерации в области образования 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возможность обучения на государственных языках субъектов Российской Федерации и родном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нерусском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возможность их изучения и устанавливают количество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отводимых на их изучение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классам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0" w:right="80" w:firstLine="541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Обязательные предметные области и основные задачи реализации содержания предметных областей приведены в таблице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Предметные области</w:t>
            </w:r>
          </w:p>
        </w:tc>
        <w:tc>
          <w:tcPr>
            <w:tcW w:w="7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задачи реализации содержания</w:t>
            </w:r>
          </w:p>
        </w:tc>
      </w:tr>
      <w:tr>
        <w:trPr>
          <w:trHeight w:val="39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Филология</w:t>
            </w: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первоначальных представлений о единстве и</w:t>
            </w:r>
          </w:p>
        </w:tc>
      </w:tr>
      <w:tr>
        <w:trPr>
          <w:trHeight w:val="39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многообразии языкового и культурного пространства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 языке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основе национального самосознания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Развитие диалогической и</w:t>
            </w:r>
          </w:p>
        </w:tc>
      </w:tr>
      <w:tr>
        <w:trPr>
          <w:trHeight w:val="4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монологической устной и письменной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коммуникативных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умений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нравственных и эстетических чувств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способностей к</w:t>
            </w:r>
          </w:p>
        </w:tc>
      </w:tr>
      <w:tr>
        <w:trPr>
          <w:trHeight w:val="41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творческой деятельности</w:t>
            </w: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 и</w:t>
            </w: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математической речи, логического и алгоритмического</w:t>
            </w:r>
          </w:p>
        </w:tc>
      </w:tr>
      <w:tr>
        <w:trPr>
          <w:trHeight w:val="39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мышления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воображения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обеспечение первоначальных представлений</w:t>
            </w:r>
          </w:p>
        </w:tc>
      </w:tr>
      <w:tr>
        <w:trPr>
          <w:trHeight w:val="41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компьютерной грамотности</w:t>
            </w:r>
          </w:p>
        </w:tc>
      </w:tr>
      <w:tr>
        <w:trPr>
          <w:trHeight w:val="12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10620"/>
          </w:cols>
          <w:pgMar w:left="700" w:top="753" w:right="586" w:bottom="108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</w:t>
      </w:r>
    </w:p>
    <w:p>
      <w:pPr>
        <w:sectPr>
          <w:pgSz w:w="11900" w:h="16838" w:orient="portrait"/>
          <w:cols w:equalWidth="0" w:num="1">
            <w:col w:w="10620"/>
          </w:cols>
          <w:pgMar w:left="700" w:top="753" w:right="586" w:bottom="108" w:gutter="0" w:footer="0" w:header="0"/>
          <w:type w:val="continuous"/>
        </w:sectPr>
      </w:pPr>
    </w:p>
    <w:p>
      <w:pPr>
        <w:ind w:left="800" w:hanging="723"/>
        <w:spacing w:after="0"/>
        <w:tabs>
          <w:tab w:leader="none" w:pos="8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Обществознание 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Формирование уважительного отношения к семье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населенному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-335915</wp:posOffset>
            </wp:positionH>
            <wp:positionV relativeFrom="paragraph">
              <wp:posOffset>-169545</wp:posOffset>
            </wp:positionV>
            <wp:extent cx="7081520" cy="68929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689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естествознание</w:t>
            </w: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пункту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региону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истории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культуре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природе нашей страны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ее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Окружающий мир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современной жизни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Осознание ценности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целостности и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многообразия окружающего мира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своего места в нем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модели безопасного поведения в условиях повседневной жизни и в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различных опасных и чрезвычайных ситуациях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</w:t>
            </w:r>
          </w:p>
        </w:tc>
      </w:tr>
      <w:tr>
        <w:trPr>
          <w:trHeight w:val="413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психологической культуры и компетенции для обеспечения</w:t>
            </w:r>
          </w:p>
        </w:tc>
      </w:tr>
      <w:tr>
        <w:trPr>
          <w:trHeight w:val="415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эффективного и безопасного взаимодействия в социуме</w:t>
            </w:r>
          </w:p>
        </w:tc>
      </w:tr>
    </w:tbl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left="800" w:hanging="723"/>
        <w:spacing w:after="0"/>
        <w:tabs>
          <w:tab w:leader="none" w:pos="80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Основы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Воспитание способности к духовному развитию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нравственному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нравственной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самосовершенствованию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первоначальных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народов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представлений о светской этике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 отечественных традиционных</w:t>
            </w:r>
          </w:p>
        </w:tc>
      </w:tr>
      <w:tr>
        <w:trPr>
          <w:trHeight w:val="41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религиях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их роли в культуре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истории и современности России</w:t>
            </w:r>
          </w:p>
        </w:tc>
      </w:tr>
      <w:tr>
        <w:trPr>
          <w:trHeight w:val="122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способностей к художественно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образному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эмоционально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</w:tr>
      <w:tr>
        <w:trPr>
          <w:trHeight w:val="39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ценностному восприятию произведений изобразительного и</w:t>
            </w:r>
          </w:p>
        </w:tc>
      </w:tr>
      <w:tr>
        <w:trPr>
          <w:trHeight w:val="41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музыкального искусства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выражению в творческих работах своего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 к окружающему миру</w:t>
            </w:r>
          </w:p>
        </w:tc>
      </w:tr>
      <w:tr>
        <w:trPr>
          <w:trHeight w:val="125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Технология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опыта как основы обучения и познания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осуществление</w:t>
            </w:r>
          </w:p>
        </w:tc>
      </w:tr>
      <w:tr>
        <w:trPr>
          <w:trHeight w:val="391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поисково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аналитической деятельности для практического решения</w:t>
            </w:r>
          </w:p>
        </w:tc>
      </w:tr>
      <w:tr>
        <w:trPr>
          <w:trHeight w:val="41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прикладных задач с использованием знаний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полученных при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изучении других учебных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первоначального</w:t>
            </w:r>
          </w:p>
        </w:tc>
      </w:tr>
      <w:tr>
        <w:trPr>
          <w:trHeight w:val="41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опыта практической преобразовательной деятельности</w:t>
            </w:r>
          </w:p>
        </w:tc>
      </w:tr>
      <w:tr>
        <w:trPr>
          <w:trHeight w:val="122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7"/>
        </w:trPr>
        <w:tc>
          <w:tcPr>
            <w:tcW w:w="4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Укрепление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содействие гармоничному физическому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39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нравственному и социальному развитию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успешному обучению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первоначальных умений саморегуляции средствами</w:t>
            </w:r>
          </w:p>
        </w:tc>
      </w:tr>
      <w:tr>
        <w:trPr>
          <w:trHeight w:val="41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 культуры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Формирование установки на сохранение и</w:t>
            </w:r>
          </w:p>
        </w:tc>
      </w:tr>
      <w:tr>
        <w:trPr>
          <w:trHeight w:val="41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укрепление здоровья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навыков здорового и безопасного образа жизни</w:t>
            </w:r>
          </w:p>
        </w:tc>
      </w:tr>
      <w:tr>
        <w:trPr>
          <w:trHeight w:val="125"/>
        </w:trPr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0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Количество учебных занятий 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учебных года не может составлять менее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2904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часов и более</w:t>
            </w:r>
          </w:p>
        </w:tc>
      </w:tr>
    </w:tbl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3345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80" w:right="80" w:firstLine="537"/>
        <w:spacing w:after="0" w:line="360" w:lineRule="auto"/>
        <w:tabs>
          <w:tab w:leader="none" w:pos="93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целях обеспечения индивидуальных потребностей обучающихся часть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формируемая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предусматривает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620" w:right="8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занятия для углубленного изучения отдельных обязательных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учебные занятия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различные интересы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</w:p>
    <w:p>
      <w:pPr>
        <w:ind w:left="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этнокультурные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80" w:right="80" w:firstLine="541"/>
        <w:spacing w:after="0" w:line="37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развития потенциала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прежде всего одаренных детей и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разрабатываться с участием самих обучающихся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индивидуальные учебные планы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Реализация</w:t>
      </w:r>
    </w:p>
    <w:p>
      <w:pPr>
        <w:sectPr>
          <w:pgSz w:w="11900" w:h="16838" w:orient="portrait"/>
          <w:cols w:equalWidth="0" w:num="1">
            <w:col w:w="10620"/>
          </w:cols>
          <w:pgMar w:left="700" w:top="769" w:right="586" w:bottom="108" w:gutter="0" w:footer="0" w:header="0"/>
        </w:sectPr>
      </w:pP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16</w:t>
      </w:r>
    </w:p>
    <w:p>
      <w:pPr>
        <w:sectPr>
          <w:pgSz w:w="11900" w:h="16838" w:orient="portrait"/>
          <w:cols w:equalWidth="0" w:num="1">
            <w:col w:w="10620"/>
          </w:cols>
          <w:pgMar w:left="700" w:top="769" w:right="586" w:bottom="108" w:gutter="0" w:footer="0" w:header="0"/>
          <w:type w:val="continuous"/>
        </w:sect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индивидуальных учебных планов сопровождается поддержкой тьютора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универсальных учебных действий у обучающихся на ступени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 образования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-89535</wp:posOffset>
            </wp:positionV>
            <wp:extent cx="360045" cy="25203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ценностных ориентиров содержания образования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связь универсальных учебных действий с содержанием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характеристики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 универсальных учебных действий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типовые задачи формирования личностных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регулятивных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познавательных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коммуникативных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курсов должны обеспечивать достижение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разрабатываются на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формирования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отдельных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курсов должны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37"/>
        <w:spacing w:after="0" w:line="360" w:lineRule="auto"/>
        <w:tabs>
          <w:tab w:leader="none" w:pos="891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которой конкретизируются общие цели начального общего образования с учетом специфики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общую характеристику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ценностных ориентиров содержания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874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метапредметные и предметные результаты освоения конкретного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934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тематическое планирование с определением основных видов учебной деятельности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41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воспитания обучающихся на ступени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быть направлена на обеспечение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17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left="3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обучающихся в единстве урочной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совместной педагогической работе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семьи и других институтов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" w:firstLine="537"/>
        <w:spacing w:after="0" w:line="360" w:lineRule="auto"/>
        <w:tabs>
          <w:tab w:leader="none" w:pos="781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основу этой Программы должны быть положены ключевые воспитательные задачи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базовые национальные ценности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должна предусматривать приобщение обучающихся к культурным ценностям своей этнической или социокультурной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базовым национальным ценностям российского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общечеловеческим ценностям в контексте формирования у них гражданской идентичности и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системы воспитательных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позволяющих обучающемуся осваивать и на практике использовать полученные знания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целостной образовательной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включающей урочную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внеурочную и внешкольную деятельность и учитывающей историко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этническую и региональную специфику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обучающегося активной деятельностной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 должна содержать перечень планируемых результатов воспитания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формируемых ценностных ориентаций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социальных компетенций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моделей поведения младших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рекомендации по организации и текущему педагогическому контролю результатов урочной и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направленные на расширение кругозора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общей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ознакомлению с общечеловеческими ценностями мировой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духовными ценностями отечественной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этическими ценностями многонационального народа России и народов других стран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у обучающихся на ступени начального общего образования ценностных ориентаций общечеловеческого содержания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активной жизненной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потребности</w:t>
      </w:r>
    </w:p>
    <w:p>
      <w:pPr>
        <w:jc w:val="both"/>
        <w:ind w:left="3" w:hanging="3"/>
        <w:spacing w:after="0" w:line="360" w:lineRule="auto"/>
        <w:tabs>
          <w:tab w:leader="none" w:pos="385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самореализации в образовательной и иной творческой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развитию коммуникативных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навыков самоорганизации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и расширению опыта позитивного взаимодействия с окружающим миром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воспитание основ правовой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физической и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здорового и безопасного образа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жизни должна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представлений об основах экологической культуры на примере экологически сообразного поведения в быту и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безопасного для человека и окружающей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пробуждение в детях желания заботиться о своем здоровье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заинтересованного отношения к собственному здоровью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путем соблюдения правил здорового образа жизни и организации здоровьесберегающего характера учебной деятельности и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 w:right="2020"/>
        <w:spacing w:after="0" w:line="39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познавательного интереса и бережного отношения к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установок на использование здорового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-8548370</wp:posOffset>
            </wp:positionV>
            <wp:extent cx="360045" cy="25203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  <w:type w:val="continuous"/>
        </w:sect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оптимальных двигательных режимов для детей с учетом их возрастных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психологических и иных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потребности в занятиях физической культурой и спортом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здоровьесозидающих режимов дня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-1270</wp:posOffset>
            </wp:positionV>
            <wp:extent cx="360045" cy="25203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негативного отношения к факторам риска здоровью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сниженная двигательная активность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алкоголь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наркотики и другие психоактивные вещества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инфекционные 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становление умений противостояния вовлечению в табакокурение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употребление алкоголя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наркотических и сильнодействующих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потребности ребенка безбоязненно обращаться к врачу по любым вопросам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связанным с особенностями роста и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состояния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основ здоровьесберегающей учебной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организовывать успешную учебную работу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создавая здоровьесберегающие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выбирая адекватные средства и приемы выполнения заданий с учетом индивидуальных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формирование умений безопасного поведения в окружающей среде и простейших умений поведения в экстремальных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чрезвычайных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формирования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образа жизни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37"/>
        <w:spacing w:after="0" w:line="360" w:lineRule="auto"/>
        <w:tabs>
          <w:tab w:leader="none" w:pos="987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задачи и результаты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обеспечивающей формирование основ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сохранение и укрепление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психологического и социального здоровья обучающихся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описание ценностных ориентиров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лежащих в ее основе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37"/>
        <w:spacing w:after="0" w:line="360" w:lineRule="auto"/>
        <w:tabs>
          <w:tab w:leader="none" w:pos="984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направления деятельности по здоровьесбережению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обеспечению безопасности и формированию экологической культуры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отражающие специфику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запросы участников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86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модели организации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виды деятельности и формы занятий с обучающимися по формированию экологически целесообразного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здорового и безопасного уклада школьной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спортивной и оздоровительной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профилактике употребления психоактивных веществ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профилактике детского дорожно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транспортного травматизма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855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37"/>
        <w:spacing w:after="0" w:line="376" w:lineRule="auto"/>
        <w:tabs>
          <w:tab w:leader="none" w:pos="932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и инструментарий мониторинга достижения планируемых результатов по формированию экологической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культуры здорового и безопасного образа жизни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left="3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быть направлена на обеспечение коррекции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недостатков в физическом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-89535</wp:posOffset>
            </wp:positionV>
            <wp:extent cx="360045" cy="25203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3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обусловленных недостатками в их физическом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психическом развитии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индивидуально ориентированной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помощи детям с ограниченными возможностями здоровья с учетом особенностей психофизического развития</w:t>
      </w:r>
    </w:p>
    <w:p>
      <w:pPr>
        <w:ind w:left="3" w:hanging="3"/>
        <w:spacing w:after="0" w:line="360" w:lineRule="auto"/>
        <w:tabs>
          <w:tab w:leader="none" w:pos="286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индивидуальных возможностей детей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 рекомендациями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комиссии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коррекционной работы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содержание и план реализации индивидуально ориентированных коррекционных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удовлетворение особых образовательных потребностей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интеграцию в образовательном учреждении и освоение ими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систему комплексного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детей с ограниченными возможностями здоровья в условиях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включающего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педагогическое обследование детей с целью выявления их особых образовательных потребностей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динамики развития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успешности в освоении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корректировку коррекционных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специальных условий обучения и воспитания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безбарьерной среды их жизнедеятельности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специальных образовательных программ и методов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специальных учебников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учебных пособий и дидактических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технических средств обучения коллективного и индивидуального пользования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предоставление услуг ассистента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оказывающего детям необходимую техническую помощь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проведение групповых и индивидуальных коррекционных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41"/>
        <w:spacing w:after="0" w:line="37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механизм взаимодействия в разработке и реализации коррекционных мероприятий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специалистов в области коррекционной педагогики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медицинских работников образовательного учреждения и других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специализирующихся в области семьи и других институтов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  <w:type w:val="continuous"/>
        </w:sectPr>
      </w:pPr>
    </w:p>
    <w:p>
      <w:pPr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должен обеспечиваться в единстве урочной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внеурочной и внешкольной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планируемые результаты коррекционной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оценки достижения планируемых результатов освоения основной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общеобразовательной программы начального общего образования должна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-351790</wp:posOffset>
            </wp:positionV>
            <wp:extent cx="360045" cy="25203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37"/>
        <w:spacing w:after="0" w:line="360" w:lineRule="auto"/>
        <w:tabs>
          <w:tab w:leader="none" w:pos="869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закреплять основные направления и цели оценочной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описание объекта и содержание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процедуры и состав инструментария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представления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условия и границы применения системы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85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ориентировать образовательный процесс на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60" w:lineRule="auto"/>
        <w:tabs>
          <w:tab w:leader="none" w:pos="804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комплексный подход к оценке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позволяющий вести оценку предметных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метапредметных и личностных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944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предусматривать оценку достижений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 оценка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освоивших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оценку эффективности деятельности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позволять осуществлять оценку динамики учебных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826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процессе оценки достижения планируемых результатов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освоения основной образовательной программы начального общего образования должны использоваться разнообразные методы и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взаимно дополняющие друг друга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стандартизированные письменные и устные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самоанализ и самооценка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наблюдения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является организационным механизмом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Внеурочная деятельность организуется по направлениям развития личности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общеинтеллектуальное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общекультурное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через такие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экскурсии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кружки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круглые столы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диспуты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школьные научные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соревнования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поисковые и научные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общественно полезные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добровольной основе в соответствии с выбором участников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7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внеурочной деятельности образовательного учреждения определяет состав и структуру направлений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объем внеурочной деятельности для обучающихся на ступени начального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 за четыре года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учетом интересов обучающихся и возможностей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21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самостоятельно разрабатывает и утверждает план внеурочной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19.11.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реализации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образования в соответствии с требованиями Стандарта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система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-615315</wp:posOffset>
            </wp:positionV>
            <wp:extent cx="360045" cy="25203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должна учитывать особенности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его взаимодействие с социальными партнерами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внутри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 и в рамках межведомственного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условий должна содержать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имеющихся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кадровых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информационного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механизмы достижения целевых ориентиров в системе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 w:right="118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сетевой график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дорожную карту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формированию необходимой системы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 за состоянием системы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IV. Требования к условиям реализации основной образовательной программы начального общего образования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both"/>
        <w:ind w:firstLine="537"/>
        <w:spacing w:after="0" w:line="359" w:lineRule="auto"/>
        <w:tabs>
          <w:tab w:leader="none" w:pos="987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условиям реализации основной образовательной программы начального общего образования представляют собой систему требований к кадровым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финансовым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37"/>
        <w:spacing w:after="0" w:line="360" w:lineRule="auto"/>
        <w:tabs>
          <w:tab w:leader="none" w:pos="982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Интегративным результатом реализации указанных требований должно быть создание комфортной развивающей образовательной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обеспечивающей высокое качество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его доступность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открытость и привлекательность для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всего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нравственное развитие и воспитание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гарантирующей охрану и укрепление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психологического и социального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комфортной по отношению к обучающимся и педагогическим работникам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22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left="3" w:firstLine="537"/>
        <w:spacing w:after="0" w:line="359" w:lineRule="auto"/>
        <w:tabs>
          <w:tab w:leader="none" w:pos="918" w:val="left"/>
        </w:tabs>
        <w:numPr>
          <w:ilvl w:val="1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возможность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достижения планируемых результатов освоения основной образовательной программы начального общего образования всеми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детьми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выявления и развития способностей обучающихся через систему клубов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секций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студий и кружков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организацию общественно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полезной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социальной практики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используя возможности образовательных учреждений дополнительного образования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с одаренными детьми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интеллектуальных и творческих соревнований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творчества и проектно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педагогических работников и общественности в разработке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проектировании и развитии внутришкольной социальной среды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 формировании и реализации индивидуальных образовательных маршрутов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эффективного использования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отведенного на реализацию части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формируемой участниками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запросами обучающихся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спецификой образовательного учреждения и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использования в образовательном процессе современных образовательных технологий деятельностного типа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эффективной самостоятельной работы обучающихся при поддержке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включения обучающихся в процессы понимания и преобразования внешкольной социальной среды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населенного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района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города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приобретения опыта реального управления и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3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обновления содержания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hanging="3"/>
        <w:spacing w:after="0" w:line="360" w:lineRule="auto"/>
        <w:tabs>
          <w:tab w:leader="none" w:pos="255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методик и технологий ее реализации в соответствии с динамикой развития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запросов детей и их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 учетом особенностей субъекта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эффективного управления образовательным учреждением с использованием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коммуникационных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современных механизмов финансирования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3" w:firstLine="537"/>
        <w:spacing w:after="0" w:line="360" w:lineRule="auto"/>
        <w:tabs>
          <w:tab w:leader="none" w:pos="1007" w:val="left"/>
        </w:tabs>
        <w:numPr>
          <w:ilvl w:val="1"/>
          <w:numId w:val="4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кадровым условиям реализации основной образовательной программы начального общего образования включают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3" w:firstLine="541"/>
        <w:spacing w:after="0" w:line="39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укомплектованность образовательного учреждения педагогическими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руководящими и иными работниками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-8548370</wp:posOffset>
            </wp:positionV>
            <wp:extent cx="360045" cy="25203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</w:sectPr>
      </w:pP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23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  <w:type w:val="continuous"/>
        </w:sectPr>
      </w:pP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 квалификации педагогических и иных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непрерывность профессионального развития педагогических работников образовательного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реализующее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 быть укомплектовано квалифицированными кадрами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-351790</wp:posOffset>
            </wp:positionV>
            <wp:extent cx="360045" cy="25203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 квалификаций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реализующего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для педагогических работников государственного или муниципального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также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Непрерывность профессионального развития работников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реализующего основную образовательную программу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реже чем каждые пять лет в образовательных учреждениях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имеющих лицензию на право ведения данного вида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37"/>
        <w:spacing w:after="0" w:line="359" w:lineRule="auto"/>
        <w:tabs>
          <w:tab w:leader="none" w:pos="843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системе образования должны быть созданы условия для комплексного взаимодействия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возможность восполнения недостающих кадровых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ведения постоянной методической поддержки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получения оперативных консультаций по вопросам реализации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инновационного опыта других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комплексных мониторинговых исследований результатов образовательного процесса и эффективности инноваций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Финансовые условия реализации основной образовательной программы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образования должны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образовательному учреждению возможность исполнения требований Стандарта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обеспечивать реализацию обязательной части основной образовательной программы</w:t>
      </w:r>
    </w:p>
    <w:p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начального общего образования и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формируемой участниками образовательного процесса вне зависимости от количества учебных дней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отражать структуру и объем расходов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необходимых для реализации основной образовательной программы начального общего образования и достижения планируемых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механизм их формирования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24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вправе привлекать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законодательством Российской Федерации в области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дополнительные финансовые средства за счет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41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предоставления платных дополнительных образовательных и иных предусмотренных уставом образовательного учреждения услуг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-69215</wp:posOffset>
            </wp:positionV>
            <wp:extent cx="360045" cy="25203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добровольных пожертвований и целевых взносов физических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юридических лиц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firstLine="537"/>
        <w:spacing w:after="0" w:line="360" w:lineRule="auto"/>
        <w:tabs>
          <w:tab w:leader="none" w:pos="102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firstLine="537"/>
        <w:spacing w:after="0" w:line="360" w:lineRule="auto"/>
        <w:tabs>
          <w:tab w:leader="none" w:pos="956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00" w:hanging="263"/>
        <w:spacing w:after="0"/>
        <w:tabs>
          <w:tab w:leader="none" w:pos="8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гигиенических норм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водоснабжению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канализации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воздушно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тепловому режиму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бытовых условий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оборудованных гардеробов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санузлов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 личной гигиены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бытовых условий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оборудованного рабочего места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учительской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комнаты психологической разгрузки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пожарной и электробезопасности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требований охраны труда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своевременных сроков и необходимых объемов текущего и капитального ремонта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1020" w:hanging="483"/>
        <w:spacing w:after="0"/>
        <w:tabs>
          <w:tab w:leader="none" w:pos="102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возможность  для  беспрепятственного  доступа  обучающихся  с  ограниченными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541"/>
        <w:spacing w:after="0" w:line="32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возможностями здоровья к объектам инфраструктуры образовательного учреждения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техническая база реализации основной образовательной программы начального</w:t>
      </w:r>
    </w:p>
    <w:p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должна соответствовать действующим санитарным и противопожарным нормам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нормам охраны труда работников 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предъявляемым 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участку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территории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инсоляция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необходимый набор зон для обеспечения образовательной и хозяйственной деятельности образовательного учреждения и их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зданию образовательного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высота и архитектура 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необходимый набор и размещение помещений для осуществления образовательного процесса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освещенность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расположение и размеры рабочих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игровых зон и зон для индивидуальных занятий в учебных кабинетах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активной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сна и отдыха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структура которых должна обеспечивать возможность для организации урочной и внеурочной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firstLine="541"/>
        <w:spacing w:after="0" w:line="39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помещениям библиотек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размещение рабочих зон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читального зала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число читательских мест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медиатеки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25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 для 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для хранения и приготовления пищи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обеспечивающим возможность организации качественного горячего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горячих завтраков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предназначенным для занятий музыкой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изобразительным искусством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хореографией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моделированием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техническим творчеством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естественнонаучными исследованиями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иностранными языками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-614680</wp:posOffset>
            </wp:positionV>
            <wp:extent cx="360045" cy="25203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актовому залу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спортивным залам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бассейнам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игровому и спортивному оборудованию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помещениям для медицинского персонала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офисному оснащению и хозяйственному инвентарю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расходным материалам и канцелярским принадлежностям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бумага для ручного и машинного письма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инструменты письма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тетрадях и на доске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технологической обработки и конструирования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химические реактивы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носители цифровой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техническое и информационное оснащение образовательного процесса должно обеспечивать возможность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создания и использования информации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числе запись и обработка изображений и звука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выступления с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видеосопровождением и графическим сопровождением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общение в сети Интернет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получения информации различными способами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поиск информации в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работа в библиотеке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.);</w:t>
      </w: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проведения экспериментов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 использованием учебного лабораторного оборудования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вещественных и виртуально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наглядных моделей и коллекций основных математических и естественнонаучных объектов и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цифрового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традиционного измерения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наблюдений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наблюдение микрообъектов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определения местонахождения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наглядного представления и анализа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цифровых планов и карт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спутниковых изображений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создания материальных объектов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произведений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4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обработки материалов и информации с использованием технологических инструментов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проектирования и конструирования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моделей с цифровым управлением и обратной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связью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2040" w:val="left"/>
          <w:tab w:leader="none" w:pos="3380" w:val="left"/>
          <w:tab w:leader="none" w:pos="3760" w:val="left"/>
          <w:tab w:leader="none" w:pos="5360" w:val="left"/>
          <w:tab w:leader="none" w:pos="7020" w:val="left"/>
          <w:tab w:leader="none" w:pos="870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сочинения</w:t>
        <w:tab/>
        <w:t>и</w:t>
        <w:tab/>
        <w:t>аранжировки</w:t>
        <w:tab/>
        <w:t>музыкальных</w:t>
        <w:tab/>
        <w:t>произведений</w:t>
        <w:tab/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применением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традиционных инструментов и цифровых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26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участия в спортивных соревнованиях и играх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планирования учебного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фиксирования его реализации в целом и отдельных этапов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выступлений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дискуссий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экспериментов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540" w:right="10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размещения своих материалов и работ в информационной среде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массовых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собраний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организации отдыха и 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-614680</wp:posOffset>
            </wp:positionV>
            <wp:extent cx="360045" cy="25203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37"/>
        <w:spacing w:after="0" w:line="360" w:lineRule="auto"/>
        <w:tabs>
          <w:tab w:leader="none" w:pos="941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образовательная среда образовательного учреждения должна включать в себя совокупность технологических средств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базы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коммуникационные каналы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программные продукты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культурные и организационные формы информационного взаимодействия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компетентность участников образовательного процесса в решении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познавательных и профессиональных задач с применением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коммуникационных технологий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наличие служб поддержки применения ИКТ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образовательная среда образовательного учреждения должна обеспечивать возможность осуществлять в электронной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цифровой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форме следующие виды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планирование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размещение и сохранение материалов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работ обучающихся и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используемых участниками образовательного процесса информационных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фиксацию хода образовательного процесса и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5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между участниками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дистанционное посредством сети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возможность использования данных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формируемых в ходе образовательного процесса для решения задач управления образовательной деятельностью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контролируемый доступ участников образовательного процесса к информационным образовательным ресурсам в сети Интернет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ограничение доступа к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несовместимой с задачами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образовательного учреждения с органами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осуществляющими управление в сфере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с другими образовательными учреждениями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firstLine="541"/>
        <w:spacing w:after="0" w:line="3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Функционирование информационной образовательной среды обеспечивается средствами ИКТ и квалификацией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ее использующих и поддерживающих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Функционирование информационной образовательной среды должно соответствовать законодательству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9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firstLine="537"/>
        <w:spacing w:after="0" w:line="376" w:lineRule="auto"/>
        <w:tabs>
          <w:tab w:leader="none" w:pos="1184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постоянного и устойчивого доступа для всех участников образовательного процесса к любой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27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связанной с реализацией основной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планируемыми результатами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организацией образовательного процесса и условиями его осуществления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методическому обеспечению образовательного процесса включают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-614680</wp:posOffset>
            </wp:positionV>
            <wp:extent cx="360045" cy="25203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Образовательное учреждение должно быть обеспечено учебниками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учебниками с электронными приложениями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являющимися их составной частью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Образовательное учреждение должно также иметь доступ к печатным и электронным образовательным ресурсам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к электронным образовательным ресурсам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размещенным в федеральных и региональных базах данных ЭОР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иметь фонд дополнительной литературы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Фонд дополнительной литературы должен включать детскую художественную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популярную литературу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справочно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библиографические и периодические издания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сопровождающие реализацию основной образовательной программы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537"/>
        <w:spacing w:after="0" w:line="360" w:lineRule="auto"/>
        <w:tabs>
          <w:tab w:leader="none" w:pos="1008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both"/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преемственность содержания и форм 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реализацию основных образовательных программ дошкольного образования и начального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специфики возрастного психофизического развития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firstLine="541"/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и развитие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компетентности педагогических и административных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jc w:val="both"/>
        <w:ind w:firstLine="541"/>
        <w:spacing w:after="0" w:line="36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вариативность направлений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участников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сохранение и укрепление психологического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ценности здоровья и безопасного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дифференциация и индивидуализация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мониторинг возможностей и способностей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выявление и поддержка одаренных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детей с ограниченными возможностями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28</w:t>
      </w:r>
    </w:p>
    <w:p>
      <w:pPr>
        <w:sectPr>
          <w:pgSz w:w="11900" w:h="16838" w:orient="portrait"/>
          <w:cols w:equalWidth="0" w:num="1">
            <w:col w:w="10460"/>
          </w:cols>
          <w:pgMar w:left="780" w:top="753" w:right="666" w:bottom="108" w:gutter="0" w:footer="0" w:header="0"/>
          <w:type w:val="continuous"/>
        </w:sectPr>
      </w:pPr>
    </w:p>
    <w:p>
      <w:pPr>
        <w:jc w:val="both"/>
        <w:ind w:left="3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коммуникативных навыков в разновозрастной среде и среде сверстников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поддержка детских объединений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ученического самоуправления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jc w:val="both"/>
        <w:ind w:left="3" w:firstLine="541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диверсификацию уровней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групповой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уровень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-384810</wp:posOffset>
            </wp:positionH>
            <wp:positionV relativeFrom="paragraph">
              <wp:posOffset>-89535</wp:posOffset>
            </wp:positionV>
            <wp:extent cx="360045" cy="25203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3" w:firstLine="541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вариативность форм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педагогического сопровождения участников образовательного процесса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диагностика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консультирование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коррекционная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развивающая работа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экспертиза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18288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7.7pt" to="144pt,47.7pt" o:allowincell="f" strokecolor="#000000" strokeweight="0.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18" w:lineRule="auto"/>
        <w:tabs>
          <w:tab w:leader="none" w:pos="126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3"/>
        <w:spacing w:after="0" w:line="228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3"/>
        <w:spacing w:after="0" w:line="231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3" w:hanging="3"/>
        <w:spacing w:after="0" w:line="223" w:lineRule="auto"/>
        <w:tabs>
          <w:tab w:leader="none" w:pos="123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 "Об образовании").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3"/>
        <w:spacing w:after="0" w:line="225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6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Пункт 2 статьи 41 Закона Российской Федерации "Об образовании" от 10 июля 1992 г. № 3266-1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2002, № 26, ст. 2517; 2004, № 30, ст. 3086; № 35, ст. 3607; 2005, № 1, ст. 25; 2007, № 17, ст. 1932; № 44, ст. 5280).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3"/>
        <w:spacing w:after="0" w:line="225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7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Пункт 8 статьи 41 Закона Российской Федерации "Об образовании" от 10 июля 1992 г. № 3266-1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2002, № 26, ст. 2517; 2004, № 30, ст. 3086; № 35, ст. 3607; 2005, № 1, ст. 25; 2007, № 17, ст. 1932; № 44, ст. 5280).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3"/>
        <w:spacing w:after="0" w:line="213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8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Статья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4563, Российская газета, 1995, № 234).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jc w:val="both"/>
        <w:ind w:left="3"/>
        <w:spacing w:after="0" w:line="231" w:lineRule="auto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5"/>
          <w:szCs w:val="25"/>
          <w:color w:val="auto"/>
          <w:vertAlign w:val="superscript"/>
        </w:rPr>
        <w:t>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Федеральный закон от 27 июля 2006 г. № 149-ФЗ "Об информации, информационных технологиях и о защите информации" (Собрание законодательства Российской Федерации, 2006, № 31, ст. 3448), Федеральный закон от 27 июля 2006 г. № 152-ФЗ "О персональных данных" (Собрание законодательства Российской Федерации, 2006, № 31, ст. 3451).</w:t>
      </w:r>
    </w:p>
    <w:p>
      <w:pPr>
        <w:sectPr>
          <w:pgSz w:w="11900" w:h="16838" w:orient="portrait"/>
          <w:cols w:equalWidth="0" w:num="1">
            <w:col w:w="10463"/>
          </w:cols>
          <w:pgMar w:left="777" w:top="753" w:right="666" w:bottom="10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29</w:t>
      </w:r>
    </w:p>
    <w:sectPr>
      <w:pgSz w:w="11900" w:h="16838" w:orient="portrait"/>
      <w:cols w:equalWidth="0" w:num="1">
        <w:col w:w="10463"/>
      </w:cols>
      <w:pgMar w:left="777" w:top="753" w:right="666" w:bottom="10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3B"/>
    <w:multiLevelType w:val="hybridMultilevel"/>
    <w:lvl w:ilvl="0">
      <w:lvlJc w:val="left"/>
      <w:lvlText w:val="г.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1">
    <w:nsid w:val="2213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60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6B89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30A"/>
    <w:multiLevelType w:val="hybridMultilevel"/>
    <w:lvl w:ilvl="0">
      <w:lvlJc w:val="left"/>
      <w:lvlText w:val="%1."/>
      <w:numFmt w:val="decimal"/>
      <w:start w:val="5"/>
    </w:lvl>
  </w:abstractNum>
  <w:abstractNum w:abstractNumId="5">
    <w:nsid w:val="301C"/>
    <w:multiLevelType w:val="hybridMultilevel"/>
    <w:lvl w:ilvl="0">
      <w:lvlJc w:val="left"/>
      <w:lvlText w:val="%1."/>
      <w:numFmt w:val="decimal"/>
      <w:start w:val="7"/>
    </w:lvl>
  </w:abstractNum>
  <w:abstractNum w:abstractNumId="6">
    <w:nsid w:val="BDB"/>
    <w:multiLevelType w:val="hybridMultilevel"/>
    <w:lvl w:ilvl="0">
      <w:lvlJc w:val="left"/>
      <w:lvlText w:val="%1."/>
      <w:numFmt w:val="decimal"/>
      <w:start w:val="8"/>
    </w:lvl>
  </w:abstractNum>
  <w:abstractNum w:abstractNumId="7">
    <w:nsid w:val="56AE"/>
    <w:multiLevelType w:val="hybridMultilevel"/>
    <w:lvl w:ilvl="0">
      <w:lvlJc w:val="left"/>
      <w:lvlText w:val="%1."/>
      <w:numFmt w:val="upperLetter"/>
      <w:start w:val="35"/>
    </w:lvl>
    <w:lvl w:ilvl="1">
      <w:lvlJc w:val="left"/>
      <w:lvlText w:val="%2."/>
      <w:numFmt w:val="decimal"/>
      <w:start w:val="9"/>
    </w:lvl>
  </w:abstractNum>
  <w:abstractNum w:abstractNumId="8">
    <w:nsid w:val="732"/>
    <w:multiLevelType w:val="hybridMultilevel"/>
    <w:lvl w:ilvl="0">
      <w:lvlJc w:val="left"/>
      <w:lvlText w:val="%1)"/>
      <w:numFmt w:val="decimal"/>
      <w:start w:val="5"/>
    </w:lvl>
  </w:abstractNum>
  <w:abstractNum w:abstractNumId="9">
    <w:nsid w:val="12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6"/>
    </w:lvl>
  </w:abstractNum>
  <w:abstractNum w:abstractNumId="10">
    <w:nsid w:val="759A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1">
    <w:nsid w:val="235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0"/>
    </w:lvl>
  </w:abstractNum>
  <w:abstractNum w:abstractNumId="12">
    <w:nsid w:val="22EE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5"/>
    </w:lvl>
  </w:abstractNum>
  <w:abstractNum w:abstractNumId="13">
    <w:nsid w:val="4B4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4">
    <w:nsid w:val="5878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5">
    <w:nsid w:val="6B3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16">
    <w:nsid w:val="5CF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7">
    <w:nsid w:val="3E1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18">
    <w:nsid w:val="1A49"/>
    <w:multiLevelType w:val="hybridMultilevel"/>
    <w:lvl w:ilvl="0">
      <w:lvlJc w:val="left"/>
      <w:lvlText w:val="%1)"/>
      <w:numFmt w:val="decimal"/>
      <w:start w:val="4"/>
    </w:lvl>
  </w:abstractNum>
  <w:abstractNum w:abstractNumId="19">
    <w:nsid w:val="5F32"/>
    <w:multiLevelType w:val="hybridMultilevel"/>
    <w:lvl w:ilvl="0">
      <w:lvlJc w:val="left"/>
      <w:lvlText w:val="%1)"/>
      <w:numFmt w:val="decimal"/>
      <w:start w:val="1"/>
    </w:lvl>
  </w:abstractNum>
  <w:abstractNum w:abstractNumId="20">
    <w:nsid w:val="3BF6"/>
    <w:multiLevelType w:val="hybridMultilevel"/>
    <w:lvl w:ilvl="0">
      <w:lvlJc w:val="left"/>
      <w:lvlText w:val="%1)"/>
      <w:numFmt w:val="decimal"/>
      <w:start w:val="1"/>
    </w:lvl>
  </w:abstractNum>
  <w:abstractNum w:abstractNumId="21">
    <w:nsid w:val="3A9E"/>
    <w:multiLevelType w:val="hybridMultilevel"/>
    <w:lvl w:ilvl="0">
      <w:lvlJc w:val="left"/>
      <w:lvlText w:val="%1)"/>
      <w:numFmt w:val="decimal"/>
      <w:start w:val="1"/>
    </w:lvl>
  </w:abstractNum>
  <w:abstractNum w:abstractNumId="22">
    <w:nsid w:val="797D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2"/>
    </w:lvl>
  </w:abstractNum>
  <w:abstractNum w:abstractNumId="23">
    <w:nsid w:val="5F49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4">
    <w:nsid w:val="DDC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5">
    <w:nsid w:val="4CAD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6">
    <w:nsid w:val="314F"/>
    <w:multiLevelType w:val="hybridMultilevel"/>
    <w:lvl w:ilvl="0">
      <w:lvlJc w:val="left"/>
      <w:lvlText w:val="%1)"/>
      <w:numFmt w:val="decimal"/>
      <w:start w:val="2"/>
    </w:lvl>
  </w:abstractNum>
  <w:abstractNum w:abstractNumId="27">
    <w:nsid w:val="5E14"/>
    <w:multiLevelType w:val="hybridMultilevel"/>
    <w:lvl w:ilvl="0">
      <w:lvlJc w:val="left"/>
      <w:lvlText w:val="К"/>
      <w:numFmt w:val="bullet"/>
      <w:start w:val="1"/>
    </w:lvl>
  </w:abstractNum>
  <w:abstractNum w:abstractNumId="28">
    <w:nsid w:val="4DF2"/>
    <w:multiLevelType w:val="hybridMultilevel"/>
    <w:lvl w:ilvl="0">
      <w:lvlJc w:val="left"/>
      <w:lvlText w:val="%1."/>
      <w:numFmt w:val="decimal"/>
      <w:start w:val="14"/>
    </w:lvl>
  </w:abstractNum>
  <w:abstractNum w:abstractNumId="29">
    <w:nsid w:val="4944"/>
    <w:multiLevelType w:val="hybridMultilevel"/>
    <w:lvl w:ilvl="0">
      <w:lvlJc w:val="left"/>
      <w:lvlText w:val="%1."/>
      <w:numFmt w:val="decimal"/>
      <w:start w:val="17"/>
    </w:lvl>
  </w:abstractNum>
  <w:abstractNum w:abstractNumId="30">
    <w:nsid w:val="2E40"/>
    <w:multiLevelType w:val="hybridMultilevel"/>
    <w:lvl w:ilvl="0">
      <w:lvlJc w:val="left"/>
      <w:lvlText w:val="В"/>
      <w:numFmt w:val="bullet"/>
      <w:start w:val="1"/>
    </w:lvl>
  </w:abstractNum>
  <w:abstractNum w:abstractNumId="31">
    <w:nsid w:val="1366"/>
    <w:multiLevelType w:val="hybridMultilevel"/>
    <w:lvl w:ilvl="0">
      <w:lvlJc w:val="left"/>
      <w:lvlText w:val="%1."/>
      <w:numFmt w:val="decimal"/>
      <w:start w:val="19"/>
    </w:lvl>
  </w:abstractNum>
  <w:abstractNum w:abstractNumId="32">
    <w:nsid w:val="1CD0"/>
    <w:multiLevelType w:val="hybridMultilevel"/>
    <w:lvl w:ilvl="0">
      <w:lvlJc w:val="left"/>
      <w:lvlText w:val="19.%1."/>
      <w:numFmt w:val="decimal"/>
      <w:start w:val="1"/>
    </w:lvl>
  </w:abstractNum>
  <w:abstractNum w:abstractNumId="33">
    <w:nsid w:val="366B"/>
    <w:multiLevelType w:val="hybridMultilevel"/>
    <w:lvl w:ilvl="0">
      <w:lvlJc w:val="left"/>
      <w:lvlText w:val="%1)"/>
      <w:numFmt w:val="decimal"/>
      <w:start w:val="3"/>
    </w:lvl>
  </w:abstractNum>
  <w:abstractNum w:abstractNumId="34">
    <w:nsid w:val="66C4"/>
    <w:multiLevelType w:val="hybridMultilevel"/>
    <w:lvl w:ilvl="0">
      <w:lvlJc w:val="left"/>
      <w:lvlText w:val="%1)"/>
      <w:numFmt w:val="decimal"/>
      <w:start w:val="1"/>
    </w:lvl>
  </w:abstractNum>
  <w:abstractNum w:abstractNumId="35">
    <w:nsid w:val="4230"/>
    <w:multiLevelType w:val="hybridMultilevel"/>
    <w:lvl w:ilvl="0">
      <w:lvlJc w:val="left"/>
      <w:lvlText w:val="3"/>
      <w:numFmt w:val="bullet"/>
      <w:start w:val="1"/>
    </w:lvl>
  </w:abstractNum>
  <w:abstractNum w:abstractNumId="36">
    <w:nsid w:val="7EB7"/>
    <w:multiLevelType w:val="hybridMultilevel"/>
    <w:lvl w:ilvl="0">
      <w:lvlJc w:val="left"/>
      <w:lvlText w:val="4"/>
      <w:numFmt w:val="bullet"/>
      <w:start w:val="1"/>
    </w:lvl>
  </w:abstractNum>
  <w:abstractNum w:abstractNumId="37">
    <w:nsid w:val="6032"/>
    <w:multiLevelType w:val="hybridMultilevel"/>
    <w:lvl w:ilvl="0">
      <w:lvlJc w:val="left"/>
      <w:lvlText w:val="В"/>
      <w:numFmt w:val="bullet"/>
      <w:start w:val="1"/>
    </w:lvl>
  </w:abstractNum>
  <w:abstractNum w:abstractNumId="38">
    <w:nsid w:val="2C3B"/>
    <w:multiLevelType w:val="hybridMultilevel"/>
    <w:lvl w:ilvl="0">
      <w:lvlJc w:val="left"/>
      <w:lvlText w:val="%1)"/>
      <w:numFmt w:val="decimal"/>
      <w:start w:val="1"/>
    </w:lvl>
  </w:abstractNum>
  <w:abstractNum w:abstractNumId="39">
    <w:nsid w:val="15A1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0">
    <w:nsid w:val="5422"/>
    <w:multiLevelType w:val="hybridMultilevel"/>
    <w:lvl w:ilvl="0">
      <w:lvlJc w:val="left"/>
      <w:lvlText w:val="%1)"/>
      <w:numFmt w:val="decimal"/>
      <w:start w:val="1"/>
    </w:lvl>
  </w:abstractNum>
  <w:abstractNum w:abstractNumId="41">
    <w:nsid w:val="3EF6"/>
    <w:multiLevelType w:val="hybridMultilevel"/>
    <w:lvl w:ilvl="0">
      <w:lvlJc w:val="left"/>
      <w:lvlText w:val="и"/>
      <w:numFmt w:val="bullet"/>
      <w:start w:val="1"/>
    </w:lvl>
  </w:abstractNum>
  <w:abstractNum w:abstractNumId="42">
    <w:nsid w:val="822"/>
    <w:multiLevelType w:val="hybridMultilevel"/>
    <w:lvl w:ilvl="0">
      <w:lvlJc w:val="left"/>
      <w:lvlText w:val="%1)"/>
      <w:numFmt w:val="decimal"/>
      <w:start w:val="1"/>
    </w:lvl>
  </w:abstractNum>
  <w:abstractNum w:abstractNumId="43">
    <w:nsid w:val="5991"/>
    <w:multiLevelType w:val="hybridMultilevel"/>
    <w:lvl w:ilvl="0">
      <w:lvlJc w:val="left"/>
      <w:lvlText w:val="В"/>
      <w:numFmt w:val="bullet"/>
      <w:start w:val="1"/>
    </w:lvl>
  </w:abstractNum>
  <w:abstractNum w:abstractNumId="44">
    <w:nsid w:val="409D"/>
    <w:multiLevelType w:val="hybridMultilevel"/>
    <w:lvl w:ilvl="0">
      <w:lvlJc w:val="left"/>
      <w:lvlText w:val="%1."/>
      <w:numFmt w:val="decimal"/>
      <w:start w:val="20"/>
    </w:lvl>
  </w:abstractNum>
  <w:abstractNum w:abstractNumId="45">
    <w:nsid w:val="12E1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22"/>
    </w:lvl>
  </w:abstractNum>
  <w:abstractNum w:abstractNumId="46">
    <w:nsid w:val="798B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%2."/>
      <w:numFmt w:val="decimal"/>
      <w:start w:val="23"/>
    </w:lvl>
  </w:abstractNum>
  <w:abstractNum w:abstractNumId="47">
    <w:nsid w:val="121F"/>
    <w:multiLevelType w:val="hybridMultilevel"/>
    <w:lvl w:ilvl="0">
      <w:lvlJc w:val="left"/>
      <w:lvlText w:val="В"/>
      <w:numFmt w:val="bullet"/>
      <w:start w:val="1"/>
    </w:lvl>
  </w:abstractNum>
  <w:abstractNum w:abstractNumId="48">
    <w:nsid w:val="73DA"/>
    <w:multiLevelType w:val="hybridMultilevel"/>
    <w:lvl w:ilvl="0">
      <w:lvlJc w:val="left"/>
      <w:lvlText w:val="%1."/>
      <w:numFmt w:val="decimal"/>
      <w:start w:val="25"/>
    </w:lvl>
  </w:abstractNum>
  <w:abstractNum w:abstractNumId="49">
    <w:nsid w:val="58B0"/>
    <w:multiLevelType w:val="hybridMultilevel"/>
    <w:lvl w:ilvl="0">
      <w:lvlJc w:val="left"/>
      <w:lvlText w:val="%1)"/>
      <w:numFmt w:val="decimal"/>
      <w:start w:val="1"/>
    </w:lvl>
  </w:abstractNum>
  <w:abstractNum w:abstractNumId="50">
    <w:nsid w:val="26CA"/>
    <w:multiLevelType w:val="hybridMultilevel"/>
    <w:lvl w:ilvl="0">
      <w:lvlJc w:val="left"/>
      <w:lvlText w:val="%1)"/>
      <w:numFmt w:val="decimal"/>
      <w:start w:val="3"/>
    </w:lvl>
  </w:abstractNum>
  <w:abstractNum w:abstractNumId="51">
    <w:nsid w:val="3699"/>
    <w:multiLevelType w:val="hybridMultilevel"/>
    <w:lvl w:ilvl="0">
      <w:lvlJc w:val="left"/>
      <w:lvlText w:val="%1."/>
      <w:numFmt w:val="decimal"/>
      <w:start w:val="26"/>
    </w:lvl>
  </w:abstractNum>
  <w:abstractNum w:abstractNumId="52">
    <w:nsid w:val="902"/>
    <w:multiLevelType w:val="hybridMultilevel"/>
    <w:lvl w:ilvl="0">
      <w:lvlJc w:val="left"/>
      <w:lvlText w:val="%1."/>
      <w:numFmt w:val="decimal"/>
      <w:start w:val="28"/>
    </w:lvl>
  </w:abstractNum>
  <w:abstractNum w:abstractNumId="53">
    <w:nsid w:val="7BB9"/>
    <w:multiLevelType w:val="hybridMultilevel"/>
    <w:lvl w:ilvl="0">
      <w:lvlJc w:val="left"/>
      <w:lvlText w:val="1"/>
      <w:numFmt w:val="bullet"/>
      <w:start w:val="1"/>
    </w:lvl>
  </w:abstractNum>
  <w:abstractNum w:abstractNumId="54">
    <w:nsid w:val="5772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2019-10-14T21:23:16Z</dcterms:created>
  <dcterms:modified xsi:type="dcterms:W3CDTF">2019-10-14T21:23:16Z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