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Согласовано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ПК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Утверждаю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 центра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900" w:space="720"/>
            <w:col w:w="3000"/>
          </w:cols>
          <w:pgMar w:left="1440" w:top="1123" w:right="844" w:bottom="144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840" w:space="720"/>
            <w:col w:w="3060"/>
          </w:cols>
          <w:pgMar w:left="1440" w:top="1123" w:right="844" w:bottom="1440" w:gutter="0" w:footer="0" w:header="0"/>
          <w:type w:val="continuous"/>
        </w:sectPr>
      </w:pP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«_____»_______________2015 г.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«_____»_____________2015 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5700" w:space="720"/>
            <w:col w:w="3200"/>
          </w:cols>
          <w:pgMar w:left="1440" w:top="1123" w:right="844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Положение о стимулирующих выплатах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работникам государственного бюджетного учреждения – центра психолого-педагогической, медицинской и социальной помощи муниципального района Хворостянский Самарской области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1.Общие положения.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80" w:hanging="320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Критерии и размеры  стимулирующих выплат.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580" w:hanging="320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Сроки представления работниками материалов по самоанализу.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260" w:right="500"/>
        <w:spacing w:after="0" w:line="235" w:lineRule="auto"/>
        <w:tabs>
          <w:tab w:leader="none" w:pos="58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Период, на который могут быть установлены стимулирующие выплаты.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260" w:right="1240"/>
        <w:spacing w:after="0" w:line="236" w:lineRule="auto"/>
        <w:tabs>
          <w:tab w:leader="none" w:pos="66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Сроки представления руководителем центра органу самоуправления (педсовету) аналитической информации о показателях деятельности работника.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260" w:right="640"/>
        <w:spacing w:after="0" w:line="234" w:lineRule="auto"/>
        <w:tabs>
          <w:tab w:leader="none" w:pos="58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Сроки издания директором центра приказа об установлении стимулирующих выплат.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580" w:hanging="320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Возможность снижения или отмены стимулирующих выплат.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2"/>
          <w:szCs w:val="32"/>
          <w:color w:val="auto"/>
        </w:rPr>
      </w:pPr>
    </w:p>
    <w:p>
      <w:pPr>
        <w:ind w:left="580" w:hanging="320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2"/>
          <w:szCs w:val="32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Условия для назначения стимулирующих выплат.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3" w:right="844" w:bottom="1440" w:gutter="0" w:footer="0" w:header="0"/>
          <w:type w:val="continuous"/>
        </w:sectPr>
      </w:pPr>
    </w:p>
    <w:p>
      <w:pPr>
        <w:jc w:val="both"/>
        <w:ind w:left="260" w:firstLine="42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разработано на основании методических рекомендаций по распределению стимулирующего фонда оплаты труда работников подведомственных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министерству образования и науки Самарской области, общеобразовательных учреждений и учреждений, созданных для реализации отдельных функций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управления в сфере образования и науки, утвержденных распоряжением министерства образовании и науки Самарской области от 23.01.2009 г. № 63 – р, а также на основании приказа министерства образования и науки Самарской области от 22.01.2009 г. № 9-од «Об утверждении Регламента распределения стимулирующего фонда оплаты труда работников государственных общеобразовательных учреждений Самарской области и муниципальных общеобразовательных учреждений»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423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Настоящее положение вводится с целью совершенствовать механизм распределения стимулирующего фонда оплаты труда работников центра, а также для материальной заинтересованности работников центра в развитии творческой активности и инициативы при реализации поставленных перед коллективом задач, повышения качества и эффективности образовательного процесса, закрепления квалифицированных кадров. Стимулирующие выплаты осуществляются в пределах стимулирующей части фонда оплаты труда.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firstLine="42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Основанием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назначения стимулирующих выплат являются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позитивные результаты организационно-методической, образовательной деятельности, а также эффективная организация использования материально-технических и финансовых ресурсов и эффективная организация охраны жизни и здоровья обучающихся (воспитанников).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42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Перечень критериев,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позволяющих оценить результативность 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качество работы (эффективность труда) специалистов центра и размеры стимулирующих выплат следующие: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tabs>
          <w:tab w:leader="none" w:pos="53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публикаций в периодических издания, сборниках различного уровня по итогам научно-методической деятельности, а также выступления на семинарах, конференциях, форумах и т. д. (выше уровня центра) – 1 балл;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разработка и внедрение авторской образовательной программы (1 программа – 3 балла; 2-4 программы – 6 баллов; 5 и более программ – 10 баллов);</w:t>
      </w:r>
    </w:p>
    <w:p>
      <w:pPr>
        <w:ind w:left="600" w:hanging="340"/>
        <w:spacing w:after="0"/>
        <w:tabs>
          <w:tab w:leader="none" w:pos="6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позитивная  динамика  в  результатах  коррекционно   –  развивающей,</w:t>
      </w:r>
    </w:p>
    <w:p>
      <w:pPr>
        <w:ind w:left="260"/>
        <w:spacing w:after="0"/>
        <w:tabs>
          <w:tab w:leader="none" w:pos="2800" w:val="left"/>
          <w:tab w:leader="none" w:pos="3980" w:val="left"/>
          <w:tab w:leader="none" w:pos="5740" w:val="left"/>
          <w:tab w:leader="none" w:pos="6120" w:val="left"/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психологической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работы,</w:t>
        <w:tab/>
        <w:t>проявляемая</w:t>
        <w:tab/>
        <w:t>в</w:t>
        <w:tab/>
        <w:t>достижениях</w:t>
        <w:tab/>
        <w:t>обучающихся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(воспитанников), определяемая на основе протоколов исследований, мониторинга, наблюдений, бесед, результатов положительных изменений, личностных характеристиках – 3 балла;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tabs>
          <w:tab w:leader="none" w:pos="46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I T – технологий в образовательном процессе составляет более 10% учебного времени – 3 балла;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7" w:lineRule="auto"/>
        <w:tabs>
          <w:tab w:leader="none" w:pos="82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системы психологического просвещения учащихся (воспитанников), педагогов, родителей, формы и активные методы этой работы (семинары, деловые игры, тренинги для родителей (педагогов), стенд психолога и т. п. – 3 балла;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tabs>
          <w:tab w:leader="none" w:pos="47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наличие квалификационной категории (II кв. кат. – 1 балл, I кв. кат. – 2 балла, высшая кв. кат. – 3 балла;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4" w:bottom="14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4" w:bottom="144" w:gutter="0" w:footer="0" w:header="0"/>
          <w:type w:val="continuous"/>
        </w:sectPr>
      </w:pPr>
    </w:p>
    <w:p>
      <w:pPr>
        <w:jc w:val="both"/>
        <w:ind w:left="260"/>
        <w:spacing w:after="0" w:line="235" w:lineRule="auto"/>
        <w:tabs>
          <w:tab w:leader="none" w:pos="48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специфика работы (с детьми с ОВЗ, работа по первичной профилактике наркомании среди детей и подростков, специализированная помощь) – 3 балла;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6" w:lineRule="auto"/>
        <w:tabs>
          <w:tab w:leader="none" w:pos="48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внедрение новых методик и разработок в образовательном процессе – 3 балла;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59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отзывы руководителей, педколлектива образовательных учреждений, родителей, учащихся о работе педагога (определяется с помощью безымянного анкетирования) – 1,5 балла;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/>
        <w:spacing w:after="0" w:line="234" w:lineRule="auto"/>
        <w:tabs>
          <w:tab w:leader="none" w:pos="48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обоснованных обращений учащихся, родителей, педагогов по поводу конфликтных ситуаций – 1,5 балла;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/>
        <w:spacing w:after="0" w:line="234" w:lineRule="auto"/>
        <w:tabs>
          <w:tab w:leader="none" w:pos="43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участие педагога в психологических экспертизах, педагогических решений, конкурсных комиссий – 3 балла;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tabs>
          <w:tab w:leader="none" w:pos="50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кредиторских задолженностей и остатков средств на счетах центра на конец отчётного периода – 5 баллов;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0"/>
        <w:spacing w:after="0" w:line="234" w:lineRule="auto"/>
        <w:tabs>
          <w:tab w:leader="none" w:pos="46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замечаний по итогам ревизий и других проверок по вопросам финансово-хозяйственной деятельности – 10 баллов;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47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уменьшение количества списываемого инвентаря по причине досрочного приведения в негодность (по сравнению с предыдущим отчётным периодом)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10 баллов;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3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предписаний и обоснованных жалоб в части организации охраны жизни и здоровья сотрудников; регулярное и чёткое ведение документации по делопроизводству; работа с кадрами – 15 баллов;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44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протоколов, составленных сотрудниками ГИБДД, за нарушение правил дорожного движения; своевременное прохождение технического осмотра транспортного средства – 2 балла.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(Примечание: 1 балл = 100 руб).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423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Результативность и качество работы (эффективность труда) работников центра оценивается 2 раза в год по итогам полугодий учебного года (I полугодие за сентябрь – декабрь, II полугодие за январь – май). На время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летних каникул (июнь-август) стимулирующие выплаты не распространяются (за исключением главного бухгалтера, секретаря, водителя).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35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Работники центра должны провести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самоанализ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своей деятельности в соответствии с утвержденными критериями на конец учебного года и начала календарного года предоставить данный материал директору в виде портфолио.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 w:firstLine="42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Директору центра предоставляется возможность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снизить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отменить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стимулирующие выплаты работнику, если работник не выдерживает критерии, по которым ему были рекомендованы стимулирующие выплаты или работник, во время получения стимулирующих выплат, был подвержен дисциплинарному взысканию.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Условиями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назначения стимулирующих выплат являются: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20" w:hanging="160"/>
        <w:spacing w:after="0"/>
        <w:tabs>
          <w:tab w:leader="none" w:pos="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стаж работы в должности не менее 6 месяцев;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 w:line="234" w:lineRule="auto"/>
        <w:tabs>
          <w:tab w:leader="none" w:pos="62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отсутствие случаев травматизма обучающихся (воспитанников) на занятиях; - отсутствие дисциплинарных взысканий.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4" w:bottom="144" w:gutter="0" w:footer="0" w:header="0"/>
        </w:sectPr>
      </w:pP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p>
      <w:pPr>
        <w:sectPr>
          <w:pgSz w:w="11900" w:h="16838" w:orient="portrait"/>
          <w:cols w:equalWidth="0" w:num="1">
            <w:col w:w="9620"/>
          </w:cols>
          <w:pgMar w:left="1440" w:top="1141" w:right="844" w:bottom="14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9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</w:p>
    <w:sectPr>
      <w:pgSz w:w="11900" w:h="16838" w:orient="portrait"/>
      <w:cols w:equalWidth="0" w:num="1">
        <w:col w:w="9620"/>
      </w:cols>
      <w:pgMar w:left="1440" w:top="1440" w:right="844" w:bottom="144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72AE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6DF1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2019-10-13T23:29:02Z</dcterms:created>
  <dcterms:modified xsi:type="dcterms:W3CDTF">2019-10-13T23:29:02Z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